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73" w:rsidRPr="007A31E6" w:rsidRDefault="007A31E6" w:rsidP="007A31E6">
      <w:pPr>
        <w:jc w:val="center"/>
        <w:rPr>
          <w:b/>
          <w:sz w:val="32"/>
          <w:szCs w:val="32"/>
        </w:rPr>
      </w:pPr>
      <w:r w:rsidRPr="007A31E6">
        <w:rPr>
          <w:b/>
          <w:sz w:val="32"/>
          <w:szCs w:val="32"/>
        </w:rPr>
        <w:t>KOLESARSKI IZPIT</w:t>
      </w:r>
    </w:p>
    <w:p w:rsidR="007A31E6" w:rsidRDefault="007A31E6"/>
    <w:p w:rsidR="007A31E6" w:rsidRDefault="007A31E6">
      <w:r>
        <w:t>Prvo uro smo spoznali obvezno opremo kolesa in znake za nevarnost. Da ne bomo pozabili vsega, vam pošiljam nekaj slikic, da si jih pogledate in s tem osvežite spomin. Na spodnji povezavi lahko prelistate priročnik, ki je namenjen pripravi na kolesarski izpit.</w:t>
      </w:r>
    </w:p>
    <w:p w:rsidR="007A31E6" w:rsidRDefault="007A31E6">
      <w:hyperlink r:id="rId5" w:history="1">
        <w:r>
          <w:rPr>
            <w:rStyle w:val="Hiperpovezava"/>
          </w:rPr>
          <w:t>https://www.devetletka.net/novice/NOVO--Z-glavo-na-kolo-</w:t>
        </w:r>
        <w:proofErr w:type="spellStart"/>
        <w:r>
          <w:rPr>
            <w:rStyle w:val="Hiperpovezava"/>
          </w:rPr>
          <w:t>prirocnik</w:t>
        </w:r>
        <w:proofErr w:type="spellEnd"/>
        <w:r>
          <w:rPr>
            <w:rStyle w:val="Hiperpovezava"/>
          </w:rPr>
          <w:t>-za-pripravo-na-kolesarski-izpit</w:t>
        </w:r>
      </w:hyperlink>
    </w:p>
    <w:p w:rsidR="007A31E6" w:rsidRDefault="007A31E6">
      <w:r>
        <w:t xml:space="preserve"> </w:t>
      </w:r>
    </w:p>
    <w:p w:rsidR="007A31E6" w:rsidRDefault="007A31E6">
      <w:pPr>
        <w:rPr>
          <w:b/>
        </w:rPr>
      </w:pPr>
      <w:r w:rsidRPr="007A31E6">
        <w:rPr>
          <w:b/>
        </w:rPr>
        <w:t>OBVEZNA OPREMA:</w:t>
      </w:r>
    </w:p>
    <w:p w:rsidR="00685268" w:rsidRDefault="00685268">
      <w:pPr>
        <w:rPr>
          <w:b/>
        </w:rPr>
      </w:pPr>
    </w:p>
    <w:p w:rsidR="00685268" w:rsidRPr="007A31E6" w:rsidRDefault="00685268">
      <w:pPr>
        <w:rPr>
          <w:b/>
        </w:rPr>
      </w:pPr>
    </w:p>
    <w:p w:rsidR="007A31E6" w:rsidRDefault="007A31E6">
      <w:r>
        <w:rPr>
          <w:noProof/>
          <w:lang w:eastAsia="sl-SI"/>
        </w:rPr>
        <w:drawing>
          <wp:inline distT="0" distB="0" distL="0" distR="0" wp14:anchorId="088D9434" wp14:editId="3EE8800D">
            <wp:extent cx="5760720" cy="4320540"/>
            <wp:effectExtent l="0" t="0" r="0" b="3810"/>
            <wp:docPr id="7" name="Slika 5" descr="Oprema kol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rema kole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268" w:rsidRDefault="00685268">
      <w:pPr>
        <w:rPr>
          <w:b/>
        </w:rPr>
      </w:pPr>
    </w:p>
    <w:p w:rsidR="00685268" w:rsidRDefault="00685268">
      <w:pPr>
        <w:rPr>
          <w:b/>
        </w:rPr>
      </w:pPr>
    </w:p>
    <w:p w:rsidR="00685268" w:rsidRDefault="00685268">
      <w:pPr>
        <w:rPr>
          <w:b/>
        </w:rPr>
      </w:pPr>
    </w:p>
    <w:p w:rsidR="00685268" w:rsidRDefault="00685268">
      <w:pPr>
        <w:rPr>
          <w:b/>
        </w:rPr>
      </w:pPr>
    </w:p>
    <w:p w:rsidR="00685268" w:rsidRDefault="00685268">
      <w:pPr>
        <w:rPr>
          <w:b/>
        </w:rPr>
      </w:pPr>
    </w:p>
    <w:p w:rsidR="00685268" w:rsidRDefault="00685268">
      <w:pPr>
        <w:rPr>
          <w:b/>
        </w:rPr>
      </w:pPr>
    </w:p>
    <w:p w:rsidR="007A31E6" w:rsidRDefault="0057244E">
      <w:pPr>
        <w:rPr>
          <w:b/>
        </w:rPr>
      </w:pPr>
      <w:r>
        <w:rPr>
          <w:b/>
        </w:rPr>
        <w:lastRenderedPageBreak/>
        <w:t>NEKAJ ZNAKOV</w:t>
      </w:r>
      <w:r w:rsidR="007A31E6" w:rsidRPr="007A31E6">
        <w:rPr>
          <w:b/>
        </w:rPr>
        <w:t xml:space="preserve"> ZA NEVARNOST:</w:t>
      </w:r>
    </w:p>
    <w:p w:rsidR="007A31E6" w:rsidRDefault="00685268">
      <w:pP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</w:pPr>
      <w:r>
        <w:rPr>
          <w:b/>
        </w:rPr>
        <w:t>A</w:t>
      </w:r>
      <w:r w:rsidRPr="003F4D9B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drawing>
          <wp:inline distT="0" distB="0" distL="0" distR="0" wp14:anchorId="1FC49FD7" wp14:editId="5534CB34">
            <wp:extent cx="952500" cy="952500"/>
            <wp:effectExtent l="0" t="0" r="0" b="0"/>
            <wp:docPr id="82" name="Slika 82" descr="1106-1 Nevaren ovinek ali več zaporednih ovinkov">
              <a:hlinkClick xmlns:a="http://schemas.openxmlformats.org/drawingml/2006/main" r:id="rId7" tooltip="&quot;1106-1 Nevaren ovinek ali več zaporednih ovinko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1106-1 Nevaren ovinek ali več zaporednih ovinkov">
                      <a:hlinkClick r:id="rId7" tooltip="&quot;1106-1 Nevaren ovinek ali več zaporednih ovinko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>B</w:t>
      </w:r>
      <w:r w:rsidRPr="003F4D9B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drawing>
          <wp:inline distT="0" distB="0" distL="0" distR="0" wp14:anchorId="7547B9F7" wp14:editId="5BB6284C">
            <wp:extent cx="952500" cy="952500"/>
            <wp:effectExtent l="0" t="0" r="0" b="0"/>
            <wp:docPr id="131" name="Slika 68" descr="1101 Nevarnost na cesti">
              <a:hlinkClick xmlns:a="http://schemas.openxmlformats.org/drawingml/2006/main" r:id="rId9" tooltip="&quot;1101 Nevarnost na cest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101 Nevarnost na cesti">
                      <a:hlinkClick r:id="rId9" tooltip="&quot;1101 Nevarnost na cest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>C</w:t>
      </w:r>
      <w:r w:rsidRPr="003F4D9B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drawing>
          <wp:inline distT="0" distB="0" distL="0" distR="0" wp14:anchorId="304CED25" wp14:editId="12327F1C">
            <wp:extent cx="952500" cy="952500"/>
            <wp:effectExtent l="0" t="0" r="0" b="0"/>
            <wp:docPr id="70" name="Slika 70" descr="1102 Križišče enakovrednih cest">
              <a:hlinkClick xmlns:a="http://schemas.openxmlformats.org/drawingml/2006/main" r:id="rId11" tooltip="&quot;1102 Križišče enakovrednih ce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102 Križišče enakovrednih cest">
                      <a:hlinkClick r:id="rId11" tooltip="&quot;1102 Križišče enakovrednih ce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>D</w:t>
      </w:r>
      <w:r w:rsidRPr="003F4D9B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drawing>
          <wp:inline distT="0" distB="0" distL="0" distR="0" wp14:anchorId="3D85626F" wp14:editId="411E1830">
            <wp:extent cx="952500" cy="952500"/>
            <wp:effectExtent l="0" t="0" r="0" b="0"/>
            <wp:docPr id="73" name="Slika 73" descr="1103-2 Križišče prednostne in neprednostne ceste">
              <a:hlinkClick xmlns:a="http://schemas.openxmlformats.org/drawingml/2006/main" r:id="rId13" tooltip="&quot;1103-2 Križišče prednostne in neprednostne ces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103-2 Križišče prednostne in neprednostne ceste">
                      <a:hlinkClick r:id="rId13" tooltip="&quot;1103-2 Križišče prednostne in neprednostne ces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>E</w:t>
      </w:r>
      <w:r w:rsidRPr="003F4D9B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drawing>
          <wp:inline distT="0" distB="0" distL="0" distR="0" wp14:anchorId="32BEEFE5" wp14:editId="620603F3">
            <wp:extent cx="952500" cy="952500"/>
            <wp:effectExtent l="0" t="0" r="0" b="0"/>
            <wp:docPr id="83" name="Slika 83" descr="1106-2 Nevaren ovinek ali več zaporednih ovinkov">
              <a:hlinkClick xmlns:a="http://schemas.openxmlformats.org/drawingml/2006/main" r:id="rId15" tooltip="&quot;1106-2 Nevaren ovinek ali več zaporednih ovinko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1106-2 Nevaren ovinek ali več zaporednih ovinkov">
                      <a:hlinkClick r:id="rId15" tooltip="&quot;1106-2 Nevaren ovinek ali več zaporednih ovinko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 xml:space="preserve">               F</w:t>
      </w:r>
      <w:r w:rsidRPr="003F4D9B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drawing>
          <wp:inline distT="0" distB="0" distL="0" distR="0" wp14:anchorId="33E631C7" wp14:editId="21106175">
            <wp:extent cx="952500" cy="952500"/>
            <wp:effectExtent l="0" t="0" r="0" b="0"/>
            <wp:docPr id="87" name="Slika 87" descr="1109 Zoženje vozišča">
              <a:hlinkClick xmlns:a="http://schemas.openxmlformats.org/drawingml/2006/main" r:id="rId17" tooltip="&quot;1109 Zoženje vozišč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1109 Zoženje vozišča">
                      <a:hlinkClick r:id="rId17" tooltip="&quot;1109 Zoženje vozišč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>G</w:t>
      </w:r>
      <w:r w:rsidRPr="003F4D9B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drawing>
          <wp:inline distT="0" distB="0" distL="0" distR="0" wp14:anchorId="36F52931" wp14:editId="763A08DA">
            <wp:extent cx="952500" cy="952500"/>
            <wp:effectExtent l="0" t="0" r="0" b="0"/>
            <wp:docPr id="100" name="Slika 100" descr="1115 Prehod za pešce">
              <a:hlinkClick xmlns:a="http://schemas.openxmlformats.org/drawingml/2006/main" r:id="rId19" tooltip="&quot;1115 Prehod za peš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1115 Prehod za pešce">
                      <a:hlinkClick r:id="rId19" tooltip="&quot;1115 Prehod za peš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44E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>H</w:t>
      </w:r>
      <w:r w:rsidR="0057244E" w:rsidRPr="003F4D9B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drawing>
          <wp:inline distT="0" distB="0" distL="0" distR="0" wp14:anchorId="2EF21D15" wp14:editId="1952852C">
            <wp:extent cx="952500" cy="952500"/>
            <wp:effectExtent l="0" t="0" r="0" b="0"/>
            <wp:docPr id="110" name="Slika 110" descr="1117 Kolesarji na vozišču">
              <a:hlinkClick xmlns:a="http://schemas.openxmlformats.org/drawingml/2006/main" r:id="rId21" tooltip="&quot;1117 Kolesarji na vozišč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1117 Kolesarji na vozišču">
                      <a:hlinkClick r:id="rId21" tooltip="&quot;1117 Kolesarji na vozišč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44E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>I</w:t>
      </w:r>
      <w:r w:rsidR="0057244E" w:rsidRPr="007261E6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drawing>
          <wp:inline distT="0" distB="0" distL="0" distR="0" wp14:anchorId="5189808F" wp14:editId="2315CBB0">
            <wp:extent cx="952500" cy="952500"/>
            <wp:effectExtent l="0" t="0" r="0" b="0"/>
            <wp:docPr id="1" name="Slika 1" descr="1202 Nezavarovan prehod ceste čez železniško progo">
              <a:hlinkClick xmlns:a="http://schemas.openxmlformats.org/drawingml/2006/main" r:id="rId23" tooltip="&quot;1202 Nezavarovan prehod ceste čez železniško pr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02 Nezavarovan prehod ceste čez železniško progo">
                      <a:hlinkClick r:id="rId23" tooltip="&quot;1202 Nezavarovan prehod ceste čez železniško pr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44E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>J</w:t>
      </w:r>
      <w:r w:rsidR="0057244E" w:rsidRPr="007261E6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drawing>
          <wp:inline distT="0" distB="0" distL="0" distR="0" wp14:anchorId="214FDA26" wp14:editId="0F70B302">
            <wp:extent cx="952500" cy="952500"/>
            <wp:effectExtent l="0" t="0" r="0" b="0"/>
            <wp:docPr id="6" name="Slika 6" descr="1201 Zavarovan prehod ceste čez železniško progo">
              <a:hlinkClick xmlns:a="http://schemas.openxmlformats.org/drawingml/2006/main" r:id="rId25" tooltip="&quot;1201 Zavarovan prehod ceste čez železniško pr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01 Zavarovan prehod ceste čez železniško progo">
                      <a:hlinkClick r:id="rId25" tooltip="&quot;1201 Zavarovan prehod ceste čez železniško pr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44E" w:rsidRDefault="0057244E">
      <w:pP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</w:pPr>
    </w:p>
    <w:p w:rsidR="0057244E" w:rsidRPr="009C5A94" w:rsidRDefault="009C5A94" w:rsidP="009C5A94">
      <w:pPr>
        <w:pStyle w:val="Odstavekseznama"/>
        <w:numPr>
          <w:ilvl w:val="0"/>
          <w:numId w:val="4"/>
        </w:numP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</w:pP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>NEVAREN OVINEK ALI VEČ ZAPOREDNIH OVINKOV</w:t>
      </w:r>
    </w:p>
    <w:p w:rsidR="0057244E" w:rsidRDefault="009C5A94">
      <w:pP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</w:pP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 xml:space="preserve">     </w:t>
      </w:r>
      <w:r w:rsidR="0057244E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>B- NEVARNOST NA CESTI</w:t>
      </w:r>
    </w:p>
    <w:p w:rsidR="0057244E" w:rsidRDefault="009C5A94" w:rsidP="009C5A94">
      <w:pP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</w:pP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 xml:space="preserve">     </w:t>
      </w:r>
      <w:r w:rsidR="0057244E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>C- KRIŽIŠČE ENAKOVREDNIH CEST</w:t>
      </w:r>
    </w:p>
    <w:p w:rsidR="009C5A94" w:rsidRDefault="009C5A94" w:rsidP="009C5A94">
      <w:pP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</w:pP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 xml:space="preserve">     D- KRIŽIŠČE PREDNOSTNE IN NEPREDNOSTNE CESTE</w:t>
      </w:r>
    </w:p>
    <w:p w:rsidR="009C5A94" w:rsidRDefault="009C5A94" w:rsidP="009C5A94">
      <w:pP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</w:pP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 xml:space="preserve">     E-  NEVARNI OVINEK ALI VEČ ZAPOREDNIH OVONKOV</w:t>
      </w:r>
    </w:p>
    <w:p w:rsidR="009C5A94" w:rsidRDefault="009C5A94" w:rsidP="009C5A94">
      <w:pP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</w:pP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 xml:space="preserve">     F- ZOŽENJE VOZIŠČA</w:t>
      </w:r>
    </w:p>
    <w:p w:rsidR="009C5A94" w:rsidRDefault="00E17E04" w:rsidP="009C5A94">
      <w:pP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</w:pP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 xml:space="preserve">     </w:t>
      </w:r>
      <w:r w:rsidR="009C5A94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 xml:space="preserve">G- </w:t>
      </w: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>PREHOD ZA PEŠCE</w:t>
      </w:r>
    </w:p>
    <w:p w:rsidR="00E17E04" w:rsidRDefault="00E17E04" w:rsidP="009C5A94">
      <w:pP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</w:pP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 xml:space="preserve">     H- KOLESARJI NA VOZIŠČU</w:t>
      </w:r>
    </w:p>
    <w:p w:rsidR="0057244E" w:rsidRPr="009C5A94" w:rsidRDefault="009C5A94" w:rsidP="009C5A94">
      <w:pP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</w:pP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 xml:space="preserve">     I- </w:t>
      </w:r>
      <w:r w:rsidRPr="009C5A94">
        <w:rPr>
          <w:rFonts w:ascii="Trebuchet MS" w:eastAsia="Times New Roman" w:hAnsi="Trebuchet MS" w:cs="Times New Roman"/>
          <w:color w:val="2E74B5" w:themeColor="accent1" w:themeShade="BF"/>
          <w:sz w:val="21"/>
          <w:szCs w:val="21"/>
          <w:lang w:eastAsia="sl-SI"/>
        </w:rPr>
        <w:t>N</w:t>
      </w:r>
      <w:r w:rsidR="0057244E" w:rsidRPr="009C5A94">
        <w:rPr>
          <w:rFonts w:ascii="Trebuchet MS" w:eastAsia="Times New Roman" w:hAnsi="Trebuchet MS" w:cs="Times New Roman"/>
          <w:color w:val="2E74B5" w:themeColor="accent1" w:themeShade="BF"/>
          <w:sz w:val="21"/>
          <w:szCs w:val="21"/>
          <w:lang w:eastAsia="sl-SI"/>
        </w:rPr>
        <w:t xml:space="preserve">EZAVAROVAN PREHOD ČEZ ŽELEZNIŠKO PROGO </w:t>
      </w:r>
    </w:p>
    <w:p w:rsidR="0057244E" w:rsidRDefault="00E17E04">
      <w:pP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</w:pP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 xml:space="preserve">    </w:t>
      </w:r>
      <w:r w:rsidR="0057244E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>J- ZAVAROVAN PREHOD CESTE ČEZ ŽELEZNIŠKO PROGO</w:t>
      </w:r>
    </w:p>
    <w:p w:rsidR="00E17E04" w:rsidRDefault="00E17E04">
      <w:pPr>
        <w:rPr>
          <w:rFonts w:ascii="Trebuchet MS" w:eastAsia="Times New Roman" w:hAnsi="Trebuchet MS" w:cs="Times New Roman"/>
          <w:noProof/>
          <w:color w:val="000000" w:themeColor="text1"/>
          <w:sz w:val="21"/>
          <w:szCs w:val="21"/>
          <w:lang w:eastAsia="sl-SI"/>
        </w:rPr>
      </w:pPr>
      <w:r w:rsidRPr="00E17E04">
        <w:rPr>
          <w:rFonts w:ascii="Trebuchet MS" w:eastAsia="Times New Roman" w:hAnsi="Trebuchet MS" w:cs="Times New Roman"/>
          <w:noProof/>
          <w:color w:val="000000" w:themeColor="text1"/>
          <w:sz w:val="21"/>
          <w:szCs w:val="21"/>
          <w:lang w:eastAsia="sl-SI"/>
        </w:rPr>
        <w:t>Nekaj izjem:</w:t>
      </w:r>
    </w:p>
    <w:p w:rsidR="00E17E04" w:rsidRDefault="00E17E04">
      <w:pP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</w:pP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>1</w:t>
      </w:r>
      <w:r w:rsidRPr="007261E6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drawing>
          <wp:inline distT="0" distB="0" distL="0" distR="0" wp14:anchorId="084FD9F4" wp14:editId="7A691D3C">
            <wp:extent cx="952500" cy="952500"/>
            <wp:effectExtent l="0" t="0" r="0" b="0"/>
            <wp:docPr id="10" name="Slika 10" descr="1203-2 Razdalja do prehoda ceste čez železniško progo">
              <a:hlinkClick xmlns:a="http://schemas.openxmlformats.org/drawingml/2006/main" r:id="rId27" tooltip="&quot;1203-2 Razdalja do prehoda ceste čez železniško pr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03-2 Razdalja do prehoda ceste čez železniško progo">
                      <a:hlinkClick r:id="rId27" tooltip="&quot;1203-2 Razdalja do prehoda ceste čez železniško pr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1E6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drawing>
          <wp:inline distT="0" distB="0" distL="0" distR="0" wp14:anchorId="26FC4436" wp14:editId="36D19160">
            <wp:extent cx="952500" cy="952500"/>
            <wp:effectExtent l="0" t="0" r="0" b="0"/>
            <wp:docPr id="9" name="Slika 9" descr="1203-1 Razdalja do prehoda ceste čez železniško progo">
              <a:hlinkClick xmlns:a="http://schemas.openxmlformats.org/drawingml/2006/main" r:id="rId29" tooltip="&quot;1203-1 Razdalja do prehoda ceste čez železniško pr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03-1 Razdalja do prehoda ceste čez železniško progo">
                      <a:hlinkClick r:id="rId29" tooltip="&quot;1203-1 Razdalja do prehoda ceste čez železniško pr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1E6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drawing>
          <wp:inline distT="0" distB="0" distL="0" distR="0" wp14:anchorId="726C0364" wp14:editId="34CB1747">
            <wp:extent cx="952500" cy="952500"/>
            <wp:effectExtent l="0" t="0" r="0" b="0"/>
            <wp:docPr id="8" name="Slika 8" descr="1203 Razdalja do prehoda ceste čez železniško progo">
              <a:hlinkClick xmlns:a="http://schemas.openxmlformats.org/drawingml/2006/main" r:id="rId31" tooltip="&quot;1203 Razdalja do prehoda ceste čez železniško pr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03 Razdalja do prehoda ceste čez železniško progo">
                      <a:hlinkClick r:id="rId31" tooltip="&quot;1203 Razdalja do prehoda ceste čez železniško pr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t>2</w:t>
      </w:r>
      <w:r w:rsidRPr="00AE66AD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drawing>
          <wp:inline distT="0" distB="0" distL="0" distR="0" wp14:anchorId="67A5762E" wp14:editId="51B3B80C">
            <wp:extent cx="952500" cy="952500"/>
            <wp:effectExtent l="0" t="0" r="0" b="0"/>
            <wp:docPr id="11" name="Slika 11" descr="1204 Andrejev križ">
              <a:hlinkClick xmlns:a="http://schemas.openxmlformats.org/drawingml/2006/main" r:id="rId33" tooltip="&quot;1204 Andrejev kri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04 Andrejev križ">
                      <a:hlinkClick r:id="rId33" tooltip="&quot;1204 Andrejev kri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6AD">
        <w:rPr>
          <w:rFonts w:ascii="Trebuchet MS" w:eastAsia="Times New Roman" w:hAnsi="Trebuchet MS" w:cs="Times New Roman"/>
          <w:noProof/>
          <w:color w:val="337AB7"/>
          <w:sz w:val="21"/>
          <w:szCs w:val="21"/>
          <w:lang w:eastAsia="sl-SI"/>
        </w:rPr>
        <w:drawing>
          <wp:inline distT="0" distB="0" distL="0" distR="0" wp14:anchorId="71F46EC0" wp14:editId="4949A0E7">
            <wp:extent cx="952500" cy="952500"/>
            <wp:effectExtent l="0" t="0" r="0" b="0"/>
            <wp:docPr id="12" name="Slika 12" descr="1204-1 Andrejev križ">
              <a:hlinkClick xmlns:a="http://schemas.openxmlformats.org/drawingml/2006/main" r:id="rId35" tooltip="&quot;1204-1 Andrejev kri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04-1 Andrejev križ">
                      <a:hlinkClick r:id="rId35" tooltip="&quot;1204-1 Andrejev kri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04" w:rsidRDefault="00E17E04" w:rsidP="00E17E04">
      <w:pPr>
        <w:pStyle w:val="Odstavekseznama"/>
        <w:numPr>
          <w:ilvl w:val="0"/>
          <w:numId w:val="7"/>
        </w:numPr>
        <w:rPr>
          <w:rFonts w:ascii="Trebuchet MS" w:eastAsia="Times New Roman" w:hAnsi="Trebuchet MS" w:cs="Times New Roman"/>
          <w:noProof/>
          <w:color w:val="000000" w:themeColor="text1"/>
          <w:sz w:val="21"/>
          <w:szCs w:val="21"/>
          <w:lang w:eastAsia="sl-SI"/>
        </w:rPr>
      </w:pPr>
      <w:r>
        <w:rPr>
          <w:rFonts w:ascii="Trebuchet MS" w:eastAsia="Times New Roman" w:hAnsi="Trebuchet MS" w:cs="Times New Roman"/>
          <w:noProof/>
          <w:color w:val="000000" w:themeColor="text1"/>
          <w:sz w:val="21"/>
          <w:szCs w:val="21"/>
          <w:lang w:eastAsia="sl-SI"/>
        </w:rPr>
        <w:t>RAZDALJA DO PREHODA CESTE ČEZ ŽELEZNIŠKO PROGO</w:t>
      </w:r>
    </w:p>
    <w:p w:rsidR="00E17E04" w:rsidRPr="00E17E04" w:rsidRDefault="00E17E04" w:rsidP="00E17E04">
      <w:pPr>
        <w:pStyle w:val="Odstavekseznama"/>
        <w:numPr>
          <w:ilvl w:val="0"/>
          <w:numId w:val="7"/>
        </w:numPr>
        <w:rPr>
          <w:rFonts w:ascii="Trebuchet MS" w:eastAsia="Times New Roman" w:hAnsi="Trebuchet MS" w:cs="Times New Roman"/>
          <w:noProof/>
          <w:color w:val="000000" w:themeColor="text1"/>
          <w:sz w:val="21"/>
          <w:szCs w:val="21"/>
          <w:lang w:eastAsia="sl-SI"/>
        </w:rPr>
      </w:pPr>
      <w:r>
        <w:rPr>
          <w:rFonts w:ascii="Trebuchet MS" w:eastAsia="Times New Roman" w:hAnsi="Trebuchet MS" w:cs="Times New Roman"/>
          <w:noProof/>
          <w:color w:val="000000" w:themeColor="text1"/>
          <w:sz w:val="21"/>
          <w:szCs w:val="21"/>
          <w:lang w:eastAsia="sl-SI"/>
        </w:rPr>
        <w:t>ANDREJEV KRIŽ</w:t>
      </w:r>
      <w:bookmarkStart w:id="0" w:name="_GoBack"/>
      <w:bookmarkEnd w:id="0"/>
    </w:p>
    <w:sectPr w:rsidR="00E17E04" w:rsidRPr="00E1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8B0"/>
    <w:multiLevelType w:val="hybridMultilevel"/>
    <w:tmpl w:val="CA688AC8"/>
    <w:lvl w:ilvl="0" w:tplc="C07866B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337AB7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3F59"/>
    <w:multiLevelType w:val="hybridMultilevel"/>
    <w:tmpl w:val="F448FD94"/>
    <w:lvl w:ilvl="0" w:tplc="66A06F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2676"/>
    <w:multiLevelType w:val="hybridMultilevel"/>
    <w:tmpl w:val="7F0ECBCC"/>
    <w:lvl w:ilvl="0" w:tplc="AEE654FA">
      <w:start w:val="1"/>
      <w:numFmt w:val="upperRoman"/>
      <w:lvlText w:val="%1-"/>
      <w:lvlJc w:val="left"/>
      <w:pPr>
        <w:ind w:left="1104" w:hanging="720"/>
      </w:pPr>
      <w:rPr>
        <w:rFonts w:hint="default"/>
        <w:color w:val="337AB7"/>
      </w:rPr>
    </w:lvl>
    <w:lvl w:ilvl="1" w:tplc="04240019" w:tentative="1">
      <w:start w:val="1"/>
      <w:numFmt w:val="lowerLetter"/>
      <w:lvlText w:val="%2."/>
      <w:lvlJc w:val="left"/>
      <w:pPr>
        <w:ind w:left="1464" w:hanging="360"/>
      </w:pPr>
    </w:lvl>
    <w:lvl w:ilvl="2" w:tplc="0424001B" w:tentative="1">
      <w:start w:val="1"/>
      <w:numFmt w:val="lowerRoman"/>
      <w:lvlText w:val="%3."/>
      <w:lvlJc w:val="right"/>
      <w:pPr>
        <w:ind w:left="2184" w:hanging="180"/>
      </w:pPr>
    </w:lvl>
    <w:lvl w:ilvl="3" w:tplc="0424000F" w:tentative="1">
      <w:start w:val="1"/>
      <w:numFmt w:val="decimal"/>
      <w:lvlText w:val="%4."/>
      <w:lvlJc w:val="left"/>
      <w:pPr>
        <w:ind w:left="2904" w:hanging="360"/>
      </w:pPr>
    </w:lvl>
    <w:lvl w:ilvl="4" w:tplc="04240019" w:tentative="1">
      <w:start w:val="1"/>
      <w:numFmt w:val="lowerLetter"/>
      <w:lvlText w:val="%5."/>
      <w:lvlJc w:val="left"/>
      <w:pPr>
        <w:ind w:left="3624" w:hanging="360"/>
      </w:pPr>
    </w:lvl>
    <w:lvl w:ilvl="5" w:tplc="0424001B" w:tentative="1">
      <w:start w:val="1"/>
      <w:numFmt w:val="lowerRoman"/>
      <w:lvlText w:val="%6."/>
      <w:lvlJc w:val="right"/>
      <w:pPr>
        <w:ind w:left="4344" w:hanging="180"/>
      </w:pPr>
    </w:lvl>
    <w:lvl w:ilvl="6" w:tplc="0424000F" w:tentative="1">
      <w:start w:val="1"/>
      <w:numFmt w:val="decimal"/>
      <w:lvlText w:val="%7."/>
      <w:lvlJc w:val="left"/>
      <w:pPr>
        <w:ind w:left="5064" w:hanging="360"/>
      </w:pPr>
    </w:lvl>
    <w:lvl w:ilvl="7" w:tplc="04240019" w:tentative="1">
      <w:start w:val="1"/>
      <w:numFmt w:val="lowerLetter"/>
      <w:lvlText w:val="%8."/>
      <w:lvlJc w:val="left"/>
      <w:pPr>
        <w:ind w:left="5784" w:hanging="360"/>
      </w:pPr>
    </w:lvl>
    <w:lvl w:ilvl="8" w:tplc="0424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22165147"/>
    <w:multiLevelType w:val="hybridMultilevel"/>
    <w:tmpl w:val="6680D4CC"/>
    <w:lvl w:ilvl="0" w:tplc="B2C48A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4E42"/>
    <w:multiLevelType w:val="hybridMultilevel"/>
    <w:tmpl w:val="9214B5E4"/>
    <w:lvl w:ilvl="0" w:tplc="0B16A612">
      <w:start w:val="1"/>
      <w:numFmt w:val="decimal"/>
      <w:lvlText w:val="%1-"/>
      <w:lvlJc w:val="left"/>
      <w:pPr>
        <w:ind w:left="720" w:hanging="360"/>
      </w:pPr>
      <w:rPr>
        <w:rFonts w:hint="default"/>
        <w:color w:val="337AB7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F5AC8"/>
    <w:multiLevelType w:val="hybridMultilevel"/>
    <w:tmpl w:val="62B656F8"/>
    <w:lvl w:ilvl="0" w:tplc="19B22B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5E0E"/>
    <w:multiLevelType w:val="hybridMultilevel"/>
    <w:tmpl w:val="AC0A915E"/>
    <w:lvl w:ilvl="0" w:tplc="B8865A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E6"/>
    <w:rsid w:val="0057244E"/>
    <w:rsid w:val="00685268"/>
    <w:rsid w:val="007A31E6"/>
    <w:rsid w:val="009C5A94"/>
    <w:rsid w:val="00B00073"/>
    <w:rsid w:val="00E1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52FF"/>
  <w15:chartTrackingRefBased/>
  <w15:docId w15:val="{365338A8-119D-4F6A-A4C7-F3D4706F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A31E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omocnik.meblosignalizacija.si/produkt/1103-2/krizisce-prednostne-in-neprednostne-ceste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pomocnik.meblosignalizacija.si/produkt/1117/kolesarji-na-voziscu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s://pomocnik.meblosignalizacija.si/produkt/1106-1/nevaren-ovinek-ali-vec-zaporednih-ovinkov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pomocnik.meblosignalizacija.si/produkt/1109/zozenje-vozisca" TargetMode="External"/><Relationship Id="rId25" Type="http://schemas.openxmlformats.org/officeDocument/2006/relationships/hyperlink" Target="https://pomocnik.meblosignalizacija.si/produkt/1201/zavarovan-prehod-ceste-cez-zeleznisko-progo" TargetMode="External"/><Relationship Id="rId33" Type="http://schemas.openxmlformats.org/officeDocument/2006/relationships/hyperlink" Target="https://pomocnik.meblosignalizacija.si/produkt/1204/andrejev-kriz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pomocnik.meblosignalizacija.si/produkt/1203-1/razdalja-do-prehoda-ceste-cez-zeleznisko-prog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omocnik.meblosignalizacija.si/produkt/1102/krizisce-enakovrednih-cest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hyperlink" Target="https://www.devetletka.net/novice/NOVO--Z-glavo-na-kolo-prirocnik-za-pripravo-na-kolesarski-izpit" TargetMode="External"/><Relationship Id="rId15" Type="http://schemas.openxmlformats.org/officeDocument/2006/relationships/hyperlink" Target="https://pomocnik.meblosignalizacija.si/produkt/1106-2/nevaren-ovinek-ali-vec-zaporednih-ovinkov" TargetMode="External"/><Relationship Id="rId23" Type="http://schemas.openxmlformats.org/officeDocument/2006/relationships/hyperlink" Target="https://pomocnik.meblosignalizacija.si/produkt/1202/nezavarovan-prehod-ceste-cez-zeleznisko-progo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s://pomocnik.meblosignalizacija.si/produkt/1115/prehod-za-pesce" TargetMode="External"/><Relationship Id="rId31" Type="http://schemas.openxmlformats.org/officeDocument/2006/relationships/hyperlink" Target="https://pomocnik.meblosignalizacija.si/produkt/1203/razdalja-do-prehoda-ceste-cez-zeleznisko-pr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mocnik.meblosignalizacija.si/produkt/1101/nevarnost-na-cesti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pomocnik.meblosignalizacija.si/produkt/1203-2/razdalja-do-prehoda-ceste-cez-zeleznisko-progo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pomocnik.meblosignalizacija.si/produkt/1204-1/andrejev-kriz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2020-03-27T11:05:00Z</dcterms:created>
  <dcterms:modified xsi:type="dcterms:W3CDTF">2020-03-27T11:55:00Z</dcterms:modified>
</cp:coreProperties>
</file>